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137</w:t>
      </w:r>
    </w:p>
    <w:p>
      <w:r>
        <w:t>Bundesgericht (BGE), 1996-06-12, FR</w:t>
      </w:r>
    </w:p>
    <w:p>
      <w:r>
        <w:rPr>
          <w:b/>
        </w:rPr>
        <w:t xml:space="preserve">Quelle: </w:t>
      </w:r>
      <w:r>
        <w:t>https://mcp.opencaselaw.ch/entscheid/bge_122 III 137</w:t>
      </w:r>
    </w:p>
    <w:p>
      <w:r>
        <w:t>FR: ATF 122 III 137</w:t>
      </w:r>
    </w:p>
    <w:p>
      <w:r>
        <w:t>IT: DTF 122 III 137</w:t>
      </w:r>
    </w:p>
    <w:p>
      <w:pPr>
        <w:pStyle w:val="Heading2"/>
      </w:pPr>
      <w:r>
        <w:t>Regeste</w:t>
      </w:r>
    </w:p>
    <w:p>
      <w:r>
        <w:t>Regeste Art. 244 SchKG. Die Bestimmung, wonach über jede Konkurseingabe die Erklärung des Gemeinschuldners einzuholen ist, ist nicht eine zwingende Vorschrift des öffentlichen Rechts, deren Verletzung die jederzeit mögliche Feststellung der Nichtigkeit zur Folge hätte (Bestätigung der Rechtsprechung).</w:t>
      </w:r>
    </w:p>
    <w:p>
      <w:pPr>
        <w:pStyle w:val="Heading2"/>
      </w:pPr>
      <w:r>
        <w:t>Erwägungen</w:t>
      </w:r>
    </w:p>
    <w:p>
      <w:r>
        <w:rPr>
          <w:b/>
        </w:rPr>
        <w:t>E. 1</w:t>
      </w:r>
    </w:p>
    <w:p>
      <w:r>
        <w:t>Les recourants s'appuient essentiellement sur BLUMENSTEIN (Handbuch des schweizerischen Schuldbetreibungsrechtes, n. 1 p. 770), pour qui l'omission d'entendre le failli n'affecte pas la validité de l'état de collocation, mais le débiteur commun pourrait porter plainte en tout temps aux autorités de surveillance. Cette opinion, qui n'est pas exempte d'une certaine contradiction (SIEGFRIED WETTSTEIN, Die Konkursverwaltung nach schweizerischem Recht, thèse Berne 1935, p. 179), n'a cependant pas prévalu. L' art. 244 LP n'est en effet pas considéré comme une règle d'ordre public ( ATF 35 I 864 consid. 1; JÄGER, Commentaire de la LP, n. 5 ad art. 244; ALOÏS DE GUMOENS, De la procédure de collocation en cas de faillite et de saisie, thèse Lausanne 1913, p. 47; cf. également ATF 103 III 13 consid. 8, où il est question d'annulation, non de nullité). La décision attaquée étant conforme à la jurisprudence, soutenue par l'opinion dominante,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